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3E1167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30"/>
        </w:rPr>
      </w:pPr>
      <w:r>
        <w:drawing>
          <wp:inline distT="0" distB="0" distL="114300" distR="114300">
            <wp:extent cx="12700" cy="127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b/>
          <w:i w:val="0"/>
          <w:color w:val="000000"/>
          <w:sz w:val="30"/>
        </w:rPr>
        <w:t>晋江市伟冠双语实验学校高中学部</w:t>
      </w:r>
    </w:p>
    <w:p w14:paraId="4F60132F">
      <w:pPr>
        <w:jc w:val="center"/>
        <w:textAlignment w:val="center"/>
        <w:rPr>
          <w:rFonts w:ascii="宋体" w:hAnsi="宋体" w:eastAsia="宋体" w:cs="宋体"/>
          <w:b/>
          <w:i w:val="0"/>
          <w:color w:val="000000"/>
          <w:sz w:val="30"/>
        </w:rPr>
      </w:pPr>
      <w:r>
        <w:rPr>
          <w:rFonts w:ascii="宋体" w:hAnsi="宋体" w:eastAsia="宋体" w:cs="宋体"/>
          <w:b/>
          <w:i w:val="0"/>
          <w:color w:val="000000"/>
          <w:sz w:val="30"/>
        </w:rPr>
        <w:t>高一年级地理学科校本作业《</w:t>
      </w:r>
      <w:r>
        <w:rPr>
          <w:rFonts w:hint="eastAsia" w:ascii="宋体" w:hAnsi="宋体" w:cs="宋体"/>
          <w:b/>
          <w:i w:val="0"/>
          <w:color w:val="000000"/>
          <w:sz w:val="30"/>
          <w:lang w:val="en-US" w:eastAsia="zh-CN"/>
        </w:rPr>
        <w:t>水循环</w:t>
      </w:r>
      <w:r>
        <w:rPr>
          <w:rFonts w:ascii="宋体" w:hAnsi="宋体" w:eastAsia="宋体" w:cs="宋体"/>
          <w:b/>
          <w:i w:val="0"/>
          <w:color w:val="000000"/>
          <w:sz w:val="30"/>
        </w:rPr>
        <w:t>》</w:t>
      </w:r>
    </w:p>
    <w:p w14:paraId="419D50D6">
      <w:pPr>
        <w:jc w:val="center"/>
        <w:textAlignment w:val="center"/>
        <w:rPr>
          <w:rFonts w:ascii="Calibri" w:hAnsi="Calibri" w:eastAsia="Calibri" w:cs="Calibri"/>
          <w:b w:val="0"/>
          <w:i w:val="0"/>
          <w:color w:val="000000"/>
          <w:sz w:val="21"/>
        </w:rPr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（训练时间：</w:t>
      </w:r>
      <w:r>
        <w:rPr>
          <w:rFonts w:hint="eastAsia" w:ascii="Calibri" w:hAnsi="Calibri" w:cs="Calibri"/>
          <w:b w:val="0"/>
          <w:i w:val="0"/>
          <w:color w:val="000000"/>
          <w:sz w:val="21"/>
          <w:lang w:val="en-US" w:eastAsia="zh-CN"/>
        </w:rPr>
        <w:t>25</w:t>
      </w:r>
      <w:r>
        <w:rPr>
          <w:rFonts w:ascii="Calibri" w:hAnsi="Calibri" w:eastAsia="Calibri" w:cs="Calibri"/>
          <w:b w:val="0"/>
          <w:i w:val="0"/>
          <w:color w:val="000000"/>
          <w:sz w:val="21"/>
        </w:rPr>
        <w:t xml:space="preserve">分钟 </w:t>
      </w:r>
      <w:r>
        <w:rPr>
          <w:rFonts w:hint="eastAsia" w:ascii="Calibri" w:hAnsi="Calibri" w:cs="Calibri"/>
          <w:b w:val="0"/>
          <w:i w:val="0"/>
          <w:color w:val="000000"/>
          <w:sz w:val="21"/>
          <w:lang w:val="en-US" w:eastAsia="zh-CN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1"/>
        </w:rPr>
        <w:t>总分：</w:t>
      </w:r>
      <w:r>
        <w:rPr>
          <w:rFonts w:hint="eastAsia" w:ascii="Calibri" w:hAnsi="Calibri" w:cs="Calibri"/>
          <w:b w:val="0"/>
          <w:i w:val="0"/>
          <w:color w:val="000000"/>
          <w:sz w:val="21"/>
          <w:lang w:val="en-US" w:eastAsia="zh-CN"/>
        </w:rPr>
        <w:t>32</w:t>
      </w:r>
      <w:r>
        <w:rPr>
          <w:rFonts w:ascii="Calibri" w:hAnsi="Calibri" w:eastAsia="Calibri" w:cs="Calibri"/>
          <w:b w:val="0"/>
          <w:i w:val="0"/>
          <w:color w:val="000000"/>
          <w:sz w:val="21"/>
        </w:rPr>
        <w:t>分）</w:t>
      </w:r>
    </w:p>
    <w:p w14:paraId="24B0C203">
      <w:pPr>
        <w:ind w:firstLine="840" w:firstLineChars="400"/>
        <w:jc w:val="both"/>
        <w:textAlignment w:val="center"/>
        <w:rPr>
          <w:rFonts w:ascii="黑体" w:hAnsi="黑体" w:eastAsia="黑体" w:cs="黑体"/>
          <w:b/>
          <w:i w:val="0"/>
          <w:color w:val="000000"/>
          <w:sz w:val="30"/>
        </w:rPr>
      </w:pPr>
      <w:r>
        <w:rPr>
          <w:rFonts w:ascii="Calibri" w:hAnsi="Calibri" w:eastAsia="Calibri" w:cs="Calibri"/>
          <w:b w:val="0"/>
          <w:i w:val="0"/>
          <w:color w:val="000000"/>
          <w:sz w:val="21"/>
        </w:rPr>
        <w:t>班级</w:t>
      </w:r>
      <w:r>
        <w:rPr>
          <w:rFonts w:hint="eastAsia" w:ascii="Calibri" w:hAnsi="Calibri" w:cs="Calibri"/>
          <w:b w:val="0"/>
          <w:i w:val="0"/>
          <w:color w:val="000000"/>
          <w:sz w:val="21"/>
          <w:u w:val="single"/>
          <w:lang w:val="en-US" w:eastAsia="zh-CN"/>
        </w:rPr>
        <w:t xml:space="preserve">              </w:t>
      </w:r>
      <w:r>
        <w:rPr>
          <w:rFonts w:ascii="Calibri" w:hAnsi="Calibri" w:eastAsia="Calibri" w:cs="Calibri"/>
          <w:b w:val="0"/>
          <w:i w:val="0"/>
          <w:color w:val="000000"/>
          <w:sz w:val="21"/>
        </w:rPr>
        <w:t>姓名</w:t>
      </w:r>
      <w:r>
        <w:rPr>
          <w:rFonts w:hint="eastAsia" w:ascii="Calibri" w:hAnsi="Calibri" w:cs="Calibri"/>
          <w:b w:val="0"/>
          <w:i w:val="0"/>
          <w:color w:val="000000"/>
          <w:sz w:val="21"/>
          <w:u w:val="single"/>
          <w:lang w:val="en-US" w:eastAsia="zh-CN"/>
        </w:rPr>
        <w:t xml:space="preserve">              </w:t>
      </w:r>
      <w:r>
        <w:rPr>
          <w:rFonts w:ascii="Calibri" w:hAnsi="Calibri" w:eastAsia="Calibri" w:cs="Calibri"/>
          <w:b w:val="0"/>
          <w:i w:val="0"/>
          <w:color w:val="000000"/>
          <w:sz w:val="21"/>
        </w:rPr>
        <w:t>座号</w:t>
      </w:r>
      <w:r>
        <w:rPr>
          <w:rFonts w:hint="eastAsia" w:ascii="Calibri" w:hAnsi="Calibri" w:cs="Calibri"/>
          <w:b w:val="0"/>
          <w:i w:val="0"/>
          <w:color w:val="000000"/>
          <w:sz w:val="21"/>
          <w:u w:val="single"/>
          <w:lang w:val="en-US" w:eastAsia="zh-CN"/>
        </w:rPr>
        <w:t xml:space="preserve">              </w:t>
      </w:r>
      <w:r>
        <w:rPr>
          <w:rFonts w:ascii="Calibri" w:hAnsi="Calibri" w:eastAsia="Calibri" w:cs="Calibri"/>
          <w:b w:val="0"/>
          <w:i w:val="0"/>
          <w:color w:val="000000"/>
          <w:sz w:val="21"/>
        </w:rPr>
        <w:t>得分</w:t>
      </w:r>
      <w:r>
        <w:rPr>
          <w:rFonts w:hint="eastAsia" w:ascii="Calibri" w:hAnsi="Calibri" w:cs="Calibri"/>
          <w:b w:val="0"/>
          <w:i w:val="0"/>
          <w:color w:val="000000"/>
          <w:sz w:val="21"/>
          <w:u w:val="single"/>
          <w:lang w:val="en-US" w:eastAsia="zh-CN"/>
        </w:rPr>
        <w:t xml:space="preserve">              </w:t>
      </w:r>
    </w:p>
    <w:p w14:paraId="327E804C">
      <w:pPr>
        <w:jc w:val="left"/>
        <w:textAlignment w:val="center"/>
        <w:rPr>
          <w:rFonts w:ascii="Calibri" w:hAnsi="Calibri" w:cs="Calibri" w:eastAsiaTheme="minorEastAsia"/>
          <w:b/>
          <w:bCs/>
          <w:sz w:val="28"/>
          <w:szCs w:val="32"/>
        </w:rPr>
      </w:pPr>
      <w:r>
        <w:rPr>
          <w:rFonts w:hint="eastAsia" w:ascii="Calibri" w:hAnsi="Calibri" w:cs="Calibri" w:eastAsiaTheme="minorEastAsia"/>
          <w:b/>
          <w:bCs/>
          <w:sz w:val="28"/>
          <w:szCs w:val="32"/>
        </w:rPr>
        <w:t>【基础达标】</w:t>
      </w:r>
    </w:p>
    <w:p w14:paraId="43882615">
      <w:pPr>
        <w:jc w:val="left"/>
        <w:textAlignment w:val="center"/>
        <w:rPr>
          <w:rFonts w:hint="eastAsia" w:ascii="宋体" w:hAnsi="宋体" w:eastAsia="宋体" w:cs="宋体"/>
          <w:b/>
          <w:lang w:val="en-US" w:eastAsia="zh-CN"/>
        </w:rPr>
      </w:pPr>
      <w:r>
        <w:rPr>
          <w:rFonts w:ascii="宋体" w:hAnsi="宋体" w:cs="宋体"/>
          <w:b/>
        </w:rPr>
        <w:t>一、选择题</w:t>
      </w:r>
      <w:r>
        <w:rPr>
          <w:rFonts w:hint="eastAsia" w:ascii="宋体" w:hAnsi="宋体" w:cs="宋体"/>
          <w:b/>
          <w:lang w:eastAsia="zh-CN"/>
        </w:rPr>
        <w:t>（</w:t>
      </w:r>
      <w:r>
        <w:rPr>
          <w:rFonts w:hint="eastAsia" w:ascii="宋体" w:hAnsi="宋体" w:cs="宋体"/>
          <w:b/>
          <w:lang w:val="en-US" w:eastAsia="zh-CN"/>
        </w:rPr>
        <w:t>每小题2分，共12分</w:t>
      </w:r>
      <w:r>
        <w:rPr>
          <w:rFonts w:hint="eastAsia" w:ascii="宋体" w:hAnsi="宋体" w:cs="宋体"/>
          <w:b/>
          <w:lang w:eastAsia="zh-CN"/>
        </w:rPr>
        <w:t>）</w:t>
      </w:r>
    </w:p>
    <w:p w14:paraId="10F7390F">
      <w:pPr>
        <w:shd w:val="clear" w:color="auto" w:fill="auto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2024年6月以来，南方地区出现了历史罕见的极端暴雨天气，造成了严重灾情。下图示意广西桂林内涝及城市水循环过程。据此完成下面小题。</w:t>
      </w:r>
    </w:p>
    <w:p w14:paraId="5C3C5776">
      <w:pPr>
        <w:shd w:val="clear" w:color="auto" w:fill="auto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200275" cy="1343025"/>
            <wp:effectExtent l="0" t="0" r="9525" b="3175"/>
            <wp:docPr id="100003" name="图片 100003" descr="@@@af846f2b7d2c4ec881cf8dc330869e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af846f2b7d2c4ec881cf8dc330869ec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895600" cy="1390650"/>
            <wp:effectExtent l="0" t="0" r="0" b="6350"/>
            <wp:docPr id="100005" name="图片 100005" descr="@@@23667ff8a47b42a9bc18a8760075b2b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23667ff8a47b42a9bc18a8760075b2b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85640E">
      <w:pPr>
        <w:shd w:val="clear" w:color="auto" w:fill="auto"/>
        <w:spacing w:line="360" w:lineRule="auto"/>
        <w:jc w:val="left"/>
        <w:textAlignment w:val="center"/>
      </w:pPr>
      <w:r>
        <w:t>1．从水循环角度，推测桂林内涝发生的直接原因是（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 w14:paraId="2ECB31B7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A．①增多，②减弱B．②增多，③增多</w:t>
      </w:r>
      <w:r>
        <w:tab/>
      </w:r>
      <w:r>
        <w:t>C．①增多，③增多</w:t>
      </w:r>
      <w:r>
        <w:tab/>
      </w:r>
      <w:r>
        <w:t>D．②增多，⑤增多</w:t>
      </w:r>
    </w:p>
    <w:p w14:paraId="69CC1DD3">
      <w:pPr>
        <w:shd w:val="clear" w:color="auto" w:fill="auto"/>
        <w:spacing w:line="360" w:lineRule="auto"/>
        <w:jc w:val="left"/>
        <w:textAlignment w:val="center"/>
      </w:pPr>
      <w:r>
        <w:t>2．下列能减轻桂林内涝的可行性措施是（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 w14:paraId="30BA5095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A．将水泥路面全部置换</w:t>
      </w:r>
      <w:r>
        <w:tab/>
      </w:r>
      <w:r>
        <w:t>B．科学规划给排水设施</w:t>
      </w:r>
    </w:p>
    <w:p w14:paraId="3B209512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C．加强通风廊道的建设</w:t>
      </w:r>
      <w:r>
        <w:tab/>
      </w:r>
      <w:r>
        <w:t>D．大力拓展绿地和公园</w:t>
      </w:r>
    </w:p>
    <w:p w14:paraId="790C34B4">
      <w:pPr>
        <w:shd w:val="clear" w:color="auto" w:fill="auto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我国西北灌区常采用天然水渠灌溉，当地水渠改良后，水资源损耗明显减少。下图为该灌区内水渠改造前后的变化示意图。完成下面小题。</w:t>
      </w:r>
    </w:p>
    <w:p w14:paraId="27258AC0">
      <w:pPr>
        <w:shd w:val="clear" w:color="auto" w:fill="auto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5067300" cy="1343025"/>
            <wp:effectExtent l="0" t="0" r="0" b="3175"/>
            <wp:docPr id="100007" name="图片 100007" descr="@@@f5e597dd49684465bf34019c7f0a49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f5e597dd49684465bf34019c7f0a495b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673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6E7969">
      <w:pPr>
        <w:shd w:val="clear" w:color="auto" w:fill="auto"/>
        <w:spacing w:line="360" w:lineRule="auto"/>
        <w:jc w:val="left"/>
        <w:textAlignment w:val="center"/>
      </w:pPr>
      <w:r>
        <w:t>3．直接影响灌区内地下水水面变化的因素是（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 w14:paraId="4949C65B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A．径流</w:t>
      </w:r>
      <w:r>
        <w:tab/>
      </w:r>
      <w:r>
        <w:t>B．下渗</w:t>
      </w:r>
      <w:r>
        <w:tab/>
      </w:r>
      <w:r>
        <w:t>C．光照</w:t>
      </w:r>
      <w:r>
        <w:tab/>
      </w:r>
      <w:r>
        <w:t>D．植被</w:t>
      </w:r>
    </w:p>
    <w:p w14:paraId="29C0C842">
      <w:pPr>
        <w:shd w:val="clear" w:color="auto" w:fill="auto"/>
        <w:spacing w:line="360" w:lineRule="auto"/>
        <w:jc w:val="left"/>
        <w:textAlignment w:val="center"/>
      </w:pPr>
      <w:r>
        <w:t>4．水渠改良后，可使（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 w14:paraId="7A83B88C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</w:pPr>
      <w:r>
        <w:t>A．表面水域蒸发增强</w:t>
      </w:r>
      <w:r>
        <w:tab/>
      </w:r>
      <w:r>
        <w:t>B．底部土壤质地改善</w:t>
      </w:r>
    </w:p>
    <w:p w14:paraId="528C939C"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</w:pPr>
      <w:r>
        <w:t>C．槽内水位高度降低</w:t>
      </w:r>
      <w:r>
        <w:tab/>
      </w:r>
      <w:r>
        <w:t>D．作物种植面积扩大</w:t>
      </w:r>
    </w:p>
    <w:p w14:paraId="05B906A6">
      <w:pPr>
        <w:shd w:val="clear" w:color="auto" w:fill="auto"/>
        <w:spacing w:line="360" w:lineRule="auto"/>
        <w:ind w:firstLine="560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3059430</wp:posOffset>
            </wp:positionH>
            <wp:positionV relativeFrom="paragraph">
              <wp:posOffset>42545</wp:posOffset>
            </wp:positionV>
            <wp:extent cx="3095625" cy="2276475"/>
            <wp:effectExtent l="0" t="0" r="9525" b="9525"/>
            <wp:wrapSquare wrapText="bothSides"/>
            <wp:docPr id="100009" name="图片 100009" descr="@@@7ee416ae43a4430db5d6f0bd2794047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7ee416ae43a4430db5d6f0bd2794047b"/>
                    <pic:cNvPicPr>
                      <a:picLocks noChangeAspect="1"/>
                    </pic:cNvPicPr>
                  </pic:nvPicPr>
                  <pic:blipFill>
                    <a:blip r:embed="rId12"/>
                    <a:srcRect t="3621" b="1975"/>
                    <a:stretch>
                      <a:fillRect/>
                    </a:stretch>
                  </pic:blipFill>
                  <pic:spPr>
                    <a:xfrm>
                      <a:off x="0" y="0"/>
                      <a:ext cx="309562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楷体" w:hAnsi="楷体" w:eastAsia="楷体" w:cs="楷体"/>
        </w:rPr>
        <w:t>活水公园雨水收集系统是海绵城市建设的成功案例。下图为某活水公园雨水收集系统示意图。据此完成下面小题。</w:t>
      </w:r>
    </w:p>
    <w:p w14:paraId="6F6EF536">
      <w:pPr>
        <w:shd w:val="clear" w:color="auto" w:fill="auto"/>
        <w:spacing w:line="360" w:lineRule="auto"/>
        <w:jc w:val="left"/>
        <w:textAlignment w:val="center"/>
      </w:pPr>
      <w:r>
        <w:t>5．活水公园雨水收集系统对水循环整个环节干预最明显的是（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 w14:paraId="04F06A75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A．地下径流</w:t>
      </w:r>
      <w:r>
        <w:tab/>
      </w:r>
      <w:r>
        <w:t>B．地表径流</w:t>
      </w:r>
      <w:r>
        <w:tab/>
      </w:r>
    </w:p>
    <w:p w14:paraId="25BAE057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C．降水</w:t>
      </w:r>
      <w:r>
        <w:tab/>
      </w:r>
      <w:r>
        <w:t>D．水汽输送</w:t>
      </w:r>
    </w:p>
    <w:p w14:paraId="6C43CFD6">
      <w:pPr>
        <w:shd w:val="clear" w:color="auto" w:fill="auto"/>
        <w:spacing w:line="360" w:lineRule="auto"/>
        <w:jc w:val="left"/>
        <w:textAlignment w:val="center"/>
      </w:pPr>
      <w:r>
        <w:t>6．活水公园中荷花池在缓解城市内涝问题中最主要的功能是（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t>）</w:t>
      </w:r>
    </w:p>
    <w:p w14:paraId="65080C98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</w:pPr>
      <w:r>
        <w:t>A．下渗蓄水</w:t>
      </w:r>
      <w:r>
        <w:tab/>
      </w:r>
      <w:r>
        <w:t>B．美化城市环境</w:t>
      </w:r>
      <w:r>
        <w:tab/>
      </w:r>
      <w:r>
        <w:t>C．调节小气候</w:t>
      </w:r>
      <w:r>
        <w:tab/>
      </w:r>
      <w:r>
        <w:t>D．保护生物多样性</w:t>
      </w:r>
    </w:p>
    <w:p w14:paraId="240238F0">
      <w:pPr>
        <w:shd w:val="clear" w:color="auto" w:fill="FFFFFF"/>
        <w:spacing w:line="360" w:lineRule="auto"/>
        <w:jc w:val="left"/>
        <w:textAlignment w:val="center"/>
        <w:rPr>
          <w:rFonts w:hint="eastAsia" w:ascii="黑体" w:hAnsi="黑体" w:eastAsia="黑体" w:cs="黑体"/>
          <w:b/>
          <w:sz w:val="28"/>
          <w:szCs w:val="21"/>
        </w:rPr>
      </w:pPr>
      <w:r>
        <w:rPr>
          <w:rFonts w:hint="eastAsia" w:ascii="黑体" w:hAnsi="黑体" w:eastAsia="黑体" w:cs="黑体"/>
          <w:b/>
          <w:sz w:val="28"/>
          <w:szCs w:val="21"/>
        </w:rPr>
        <w:t>【能力提升】</w:t>
      </w:r>
    </w:p>
    <w:p w14:paraId="45D5D66C">
      <w:pPr>
        <w:jc w:val="left"/>
        <w:textAlignment w:val="center"/>
        <w:rPr>
          <w:rFonts w:ascii="宋体" w:hAnsi="宋体" w:eastAsia="宋体" w:cs="宋体"/>
          <w:b/>
          <w:i w:val="0"/>
          <w:color w:val="000000"/>
          <w:sz w:val="21"/>
        </w:rPr>
      </w:pPr>
      <w:r>
        <w:rPr>
          <w:rFonts w:ascii="宋体" w:hAnsi="宋体" w:eastAsia="宋体" w:cs="宋体"/>
          <w:b/>
          <w:i w:val="0"/>
          <w:color w:val="000000"/>
          <w:sz w:val="21"/>
        </w:rPr>
        <w:t>二、综合题</w:t>
      </w:r>
    </w:p>
    <w:p w14:paraId="0C9244B4"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7</w:t>
      </w:r>
      <w:r>
        <w:t>．阅读图文材料，完成下列要求。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6分</w:t>
      </w:r>
      <w:r>
        <w:rPr>
          <w:rFonts w:hint="eastAsia"/>
          <w:lang w:eastAsia="zh-CN"/>
        </w:rPr>
        <w:t>）</w:t>
      </w:r>
    </w:p>
    <w:p w14:paraId="5EC1B8EE">
      <w:pPr>
        <w:shd w:val="clear" w:color="auto" w:fill="auto"/>
        <w:spacing w:line="360" w:lineRule="auto"/>
        <w:ind w:firstLine="420"/>
        <w:jc w:val="left"/>
        <w:textAlignment w:val="center"/>
      </w:pPr>
      <w:r>
        <w:rPr>
          <w:rFonts w:ascii="楷体" w:hAnsi="楷体" w:eastAsia="楷体" w:cs="楷体"/>
        </w:rPr>
        <w:t>黑方台位于甘肃省永靖县，起初为荒无人烟的干旱黄土台塬，塬边无泉眼排泄，亦未发生过滑坡。后因修建刘家峡水电站，库区居民移民至此。人们抽取黄河水发展农业生产，长期漫灌致使黑方台上出现了落水泂、黄土沉降，塬边出现众多泉眼，发生了数百次山体滑坡。下图为黑方台某处台塬边缘滑坡失稳模式图。</w:t>
      </w:r>
    </w:p>
    <w:p w14:paraId="030B3622">
      <w:pPr>
        <w:shd w:val="clear" w:color="auto" w:fill="auto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597275" cy="1402080"/>
            <wp:effectExtent l="0" t="0" r="3175" b="7620"/>
            <wp:docPr id="100017" name="图片 100017" descr="@@@94745c1420204d4c988f17415e016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@@@94745c1420204d4c988f17415e0161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97275" cy="140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DDD3CB">
      <w:pPr>
        <w:shd w:val="clear" w:color="auto" w:fill="auto"/>
        <w:spacing w:line="360" w:lineRule="auto"/>
        <w:jc w:val="left"/>
        <w:textAlignment w:val="center"/>
      </w:pPr>
      <w:r>
        <w:t>从水循环角度，说明台塬边缘饱和黄土层泉水出露的过程。</w:t>
      </w:r>
    </w:p>
    <w:p w14:paraId="03E6762C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bookmarkStart w:id="0" w:name="_GoBack"/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lang w:val="en-US" w:eastAsia="zh-CN"/>
        </w:rPr>
        <w:t xml:space="preserve">  </w:t>
      </w:r>
    </w:p>
    <w:p w14:paraId="4FEFCA59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lang w:val="en-US" w:eastAsia="zh-CN"/>
        </w:rPr>
        <w:t xml:space="preserve">  </w:t>
      </w:r>
    </w:p>
    <w:p w14:paraId="60CDC43A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lang w:val="en-US" w:eastAsia="zh-CN"/>
        </w:rPr>
        <w:t xml:space="preserve">  </w:t>
      </w:r>
    </w:p>
    <w:bookmarkEnd w:id="0"/>
    <w:p w14:paraId="2B387FD8">
      <w:pPr>
        <w:shd w:val="clear" w:color="auto" w:fill="auto"/>
        <w:spacing w:line="360" w:lineRule="auto"/>
        <w:jc w:val="left"/>
        <w:textAlignment w:val="center"/>
      </w:pPr>
    </w:p>
    <w:p w14:paraId="2DFCAFF5">
      <w:pPr>
        <w:shd w:val="clear" w:color="auto" w:fill="auto"/>
        <w:spacing w:line="360" w:lineRule="auto"/>
        <w:jc w:val="left"/>
        <w:textAlignment w:val="center"/>
      </w:pPr>
    </w:p>
    <w:p w14:paraId="69AF18CA">
      <w:pPr>
        <w:shd w:val="clear" w:color="auto" w:fill="auto"/>
        <w:spacing w:line="360" w:lineRule="auto"/>
        <w:jc w:val="left"/>
        <w:textAlignment w:val="center"/>
      </w:pPr>
    </w:p>
    <w:p w14:paraId="5FAF14BD"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rPr>
          <w:rFonts w:hint="eastAsia"/>
          <w:lang w:val="en-US" w:eastAsia="zh-CN"/>
        </w:rPr>
        <w:t>8</w:t>
      </w:r>
      <w:r>
        <w:t>．阅读图文材料，完成下列要求。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14分</w:t>
      </w:r>
      <w:r>
        <w:rPr>
          <w:rFonts w:hint="eastAsia"/>
          <w:lang w:eastAsia="zh-CN"/>
        </w:rPr>
        <w:t>）</w:t>
      </w:r>
    </w:p>
    <w:p w14:paraId="7D89E485">
      <w:pPr>
        <w:shd w:val="clear" w:color="auto" w:fill="auto"/>
        <w:spacing w:line="360" w:lineRule="auto"/>
        <w:ind w:firstLine="560"/>
        <w:jc w:val="left"/>
        <w:textAlignment w:val="center"/>
      </w:pPr>
      <w:r>
        <w:rPr>
          <w:rFonts w:ascii="楷体" w:hAnsi="楷体" w:eastAsia="楷体" w:cs="楷体"/>
        </w:rPr>
        <w:t>鄱阳湖是我国第一大淡水湖，该地区存在频繁的湖陆风活动，对鄱阳县影响显著，下图示意鄱阳湖水系分布。</w:t>
      </w:r>
    </w:p>
    <w:p w14:paraId="51BB0B2F">
      <w:pPr>
        <w:shd w:val="clear" w:color="auto" w:fill="auto"/>
        <w:spacing w:line="360" w:lineRule="auto"/>
        <w:jc w:val="center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2590800" cy="2657475"/>
            <wp:effectExtent l="0" t="0" r="0" b="9525"/>
            <wp:docPr id="100019" name="图片 100019" descr="@@@987a0d46db32493aad29c9b11daae6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@@@987a0d46db32493aad29c9b11daae61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2657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7FD835">
      <w:pPr>
        <w:shd w:val="clear" w:color="auto" w:fill="auto"/>
        <w:spacing w:line="360" w:lineRule="auto"/>
        <w:jc w:val="left"/>
        <w:textAlignment w:val="center"/>
        <w:rPr>
          <w:rFonts w:hint="eastAsia" w:eastAsia="宋体"/>
          <w:lang w:eastAsia="zh-CN"/>
        </w:rPr>
      </w:pPr>
      <w:r>
        <w:t>(1)指出鄱阳湖主要参与的水循环类型，并说出鄱阳湖对周边地区气候产生影响的水循环环节。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6分</w:t>
      </w:r>
      <w:r>
        <w:rPr>
          <w:rFonts w:hint="eastAsia"/>
          <w:lang w:eastAsia="zh-CN"/>
        </w:rPr>
        <w:t>）</w:t>
      </w:r>
    </w:p>
    <w:p w14:paraId="1525F284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lang w:val="en-US" w:eastAsia="zh-CN"/>
        </w:rPr>
        <w:t xml:space="preserve">  </w:t>
      </w:r>
    </w:p>
    <w:p w14:paraId="204FAB63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lang w:val="en-US" w:eastAsia="zh-CN"/>
        </w:rPr>
        <w:t xml:space="preserve">  </w:t>
      </w:r>
    </w:p>
    <w:p w14:paraId="5CF7E352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lang w:val="en-US" w:eastAsia="zh-CN"/>
        </w:rPr>
        <w:t xml:space="preserve">  </w:t>
      </w:r>
    </w:p>
    <w:p w14:paraId="7AB334D1">
      <w:pPr>
        <w:shd w:val="clear" w:color="auto" w:fill="auto"/>
        <w:spacing w:line="360" w:lineRule="auto"/>
        <w:jc w:val="left"/>
        <w:textAlignment w:val="center"/>
      </w:pPr>
      <w:r>
        <w:t>(2)完善下图关于鄱阳县白天大气流动情况，判断近地面风向，并说明其对鄱阳县的影响。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2分</w:t>
      </w:r>
      <w:r>
        <w:rPr>
          <w:rFonts w:hint="eastAsia"/>
          <w:lang w:eastAsia="zh-CN"/>
        </w:rPr>
        <w:t>）</w:t>
      </w:r>
    </w:p>
    <w:p w14:paraId="0BEF40ED">
      <w:pPr>
        <w:shd w:val="clear" w:color="auto" w:fill="auto"/>
        <w:spacing w:line="360" w:lineRule="auto"/>
        <w:jc w:val="center"/>
        <w:textAlignment w:val="center"/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809750" cy="1352550"/>
            <wp:effectExtent l="0" t="0" r="6350" b="6350"/>
            <wp:docPr id="100021" name="图片 100021" descr="@@@4c15633c976f45b3abafa130a3779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@@@4c15633c976f45b3abafa130a377926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206051">
      <w:pPr>
        <w:shd w:val="clear" w:color="auto" w:fill="auto"/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</w:pPr>
    </w:p>
    <w:p w14:paraId="27A71EB8">
      <w:pPr>
        <w:shd w:val="clear" w:color="auto" w:fill="auto"/>
        <w:spacing w:line="360" w:lineRule="auto"/>
        <w:jc w:val="left"/>
        <w:textAlignment w:val="center"/>
      </w:pPr>
      <w:r>
        <w:t>(3)研究发现，鄱阳县东部陆风较明显，而西部湖风较明显，试解释其原理。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6分</w:t>
      </w:r>
      <w:r>
        <w:rPr>
          <w:rFonts w:hint="eastAsia"/>
          <w:lang w:eastAsia="zh-CN"/>
        </w:rPr>
        <w:t>）</w:t>
      </w:r>
    </w:p>
    <w:p w14:paraId="19819E0B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lang w:val="en-US" w:eastAsia="zh-CN"/>
        </w:rPr>
        <w:t xml:space="preserve">  </w:t>
      </w:r>
    </w:p>
    <w:p w14:paraId="16C28085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lang w:val="en-US" w:eastAsia="zh-CN"/>
        </w:rPr>
        <w:t xml:space="preserve">  </w:t>
      </w:r>
    </w:p>
    <w:p w14:paraId="13975341">
      <w:pPr>
        <w:shd w:val="clear" w:color="auto" w:fill="auto"/>
        <w:spacing w:line="360" w:lineRule="auto"/>
        <w:jc w:val="left"/>
        <w:textAlignment w:val="center"/>
        <w:rPr>
          <w:rFonts w:hint="eastAsia"/>
          <w:lang w:val="en-US" w:eastAsia="zh-CN"/>
        </w:rPr>
      </w:pPr>
      <w:r>
        <w:rPr>
          <w:rFonts w:hint="eastAsia"/>
          <w:u w:val="single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lang w:val="en-US" w:eastAsia="zh-CN"/>
        </w:rPr>
        <w:t xml:space="preserve">  </w:t>
      </w:r>
    </w:p>
    <w:p w14:paraId="48AAF5DD">
      <w:pPr>
        <w:shd w:val="clear" w:color="auto" w:fill="FFFFFF"/>
        <w:spacing w:line="360" w:lineRule="auto"/>
        <w:jc w:val="left"/>
        <w:textAlignment w:val="center"/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134" w:right="1134" w:bottom="1134" w:left="141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5E9A96"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1E5936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1E5936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sdt>
      <w:sdtPr>
        <w:id w:val="251867614"/>
        <w:showingPlcHdr/>
      </w:sdtPr>
      <w:sdtContent>
        <w:r>
          <w:rPr>
            <w:rFonts w:hint="eastAsia"/>
            <w:lang w:eastAsia="zh-CN"/>
          </w:rPr>
          <w:t xml:space="preserve">     </w:t>
        </w:r>
      </w:sdtContent>
    </w:sdt>
  </w:p>
  <w:p w14:paraId="7221F036">
    <w:pPr>
      <w:pStyle w:val="2"/>
    </w:pPr>
  </w:p>
  <w:p w14:paraId="55C907DF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5168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C926A5">
    <w:pPr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5</w:instrText>
    </w:r>
    <w:r>
      <w:fldChar w:fldCharType="end"/>
    </w:r>
    <w:r>
      <w:instrText xml:space="preserve"> </w:instrText>
    </w:r>
    <w:r>
      <w:fldChar w:fldCharType="separate"/>
    </w:r>
    <w:r>
      <w:t>5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7CE3AF">
    <w:pP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6169025" cy="303530"/>
          <wp:effectExtent l="0" t="0" r="3175" b="1270"/>
          <wp:docPr id="1" name="图片 1" descr="标头设计文件横版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标头设计文件横版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69025" cy="3035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35DB6FC"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2" r:href="rId3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5D5049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mirrorMargins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E4YzQyY2RlMDY2N2EyZWZlZjlhOTViMzI4M2JkN2QifQ=="/>
  </w:docVars>
  <w:rsids>
    <w:rsidRoot w:val="00C806B0"/>
    <w:rsid w:val="000232A6"/>
    <w:rsid w:val="00043B54"/>
    <w:rsid w:val="00065CD2"/>
    <w:rsid w:val="00186127"/>
    <w:rsid w:val="00187D6E"/>
    <w:rsid w:val="001D7A06"/>
    <w:rsid w:val="00284433"/>
    <w:rsid w:val="002A1EC6"/>
    <w:rsid w:val="002E035E"/>
    <w:rsid w:val="003F38F2"/>
    <w:rsid w:val="004151FC"/>
    <w:rsid w:val="00593181"/>
    <w:rsid w:val="0064153B"/>
    <w:rsid w:val="00672E92"/>
    <w:rsid w:val="006A5202"/>
    <w:rsid w:val="006B16C5"/>
    <w:rsid w:val="00776133"/>
    <w:rsid w:val="007D3AA7"/>
    <w:rsid w:val="00812A38"/>
    <w:rsid w:val="00855687"/>
    <w:rsid w:val="008C07DE"/>
    <w:rsid w:val="009E611B"/>
    <w:rsid w:val="00A30CCE"/>
    <w:rsid w:val="00AC3E9C"/>
    <w:rsid w:val="00B92331"/>
    <w:rsid w:val="00BC4F14"/>
    <w:rsid w:val="00BC62FB"/>
    <w:rsid w:val="00BF535F"/>
    <w:rsid w:val="00C02FC6"/>
    <w:rsid w:val="00C806B0"/>
    <w:rsid w:val="00D61ECD"/>
    <w:rsid w:val="00E476EE"/>
    <w:rsid w:val="00E650C0"/>
    <w:rsid w:val="00EF035E"/>
    <w:rsid w:val="00F700FA"/>
    <w:rsid w:val="00FA429B"/>
    <w:rsid w:val="23F15655"/>
    <w:rsid w:val="38DA69D3"/>
    <w:rsid w:val="40E41474"/>
    <w:rsid w:val="4C3C306E"/>
    <w:rsid w:val="4F1D2C68"/>
    <w:rsid w:val="55C65497"/>
    <w:rsid w:val="58776FB0"/>
    <w:rsid w:val="59545154"/>
    <w:rsid w:val="5A27275B"/>
    <w:rsid w:val="5F8D1C49"/>
    <w:rsid w:val="686762FD"/>
    <w:rsid w:val="6A3A125B"/>
    <w:rsid w:val="728F3F6F"/>
    <w:rsid w:val="7E6D18E9"/>
    <w:rsid w:val="7F9F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7B75232B38-A165-1FB7-499C-2E1C792CACB5%25257D.png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file:///D:\qq&#25991;&#20214;\712321467\Image\C2C\Image2\%25257B75232B38-A165-1FB7-499C-2E1C792CACB5%25257D.png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964</Words>
  <Characters>977</Characters>
  <Lines>40</Lines>
  <Paragraphs>11</Paragraphs>
  <TotalTime>0</TotalTime>
  <ScaleCrop>false</ScaleCrop>
  <LinksUpToDate>false</LinksUpToDate>
  <CharactersWithSpaces>1810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组卷网zujuan.xkw.com</dc:creator>
  <cp:lastModifiedBy>水晶</cp:lastModifiedBy>
  <dcterms:modified xsi:type="dcterms:W3CDTF">2024-12-03T09:46:27Z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2052-12.1.0.18912</vt:lpwstr>
  </property>
  <property fmtid="{D5CDD505-2E9C-101B-9397-08002B2CF9AE}" pid="7" name="ICV">
    <vt:lpwstr>E8FB5C7BBDA0437097A0F7D6757094C3_13</vt:lpwstr>
  </property>
</Properties>
</file>